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95f821593464de0"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18768</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GIMNAZIJA JURJA BARAKOVIĆA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1.187.623,76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1.255.334,72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1.318.281,29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1.240.608,95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14.725,77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2.133,72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18.198,75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852,9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2.133,72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18.198,75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852,9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132.791,25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3.472,98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2,6</w:t>
            </w:r>
          </w:p>
        </w:tc>
      </w:tr>
    </w:tbl>
    <w:p>
      <w:pPr>
        <w:spacing w:before="0" w:after="0"/>
      </w:pPr>
    </w:p>
    <w:p>
      <w:pPr>
        <w:jc w:val="left"/>
      </w:pPr>
      <w:r>
        <w:rPr>
          <w:b/>
        </w:rPr>
        <w:t xml:space="preserve">BILJEŠKE UZ OBRAZAC PR-RAS</w:t>
      </w:r>
    </w:p>
    <w:p>
      <w:r>
        <w:rPr>
          <w:b/>
        </w:rPr>
        <w:t xml:space="preserve">Bilješka br.1</w:t>
      </w:r>
    </w:p>
    <w:p>
      <w:r>
        <w:t xml:space="preserve">1.PRIHODI POSLVANJA-ŠIFRA 6-1.255.334,72 EUR</w:t>
      </w:r>
    </w:p>
    <w:p>
      <w:r>
        <w:t xml:space="preserve">ŠIFRA 63-Pomoći iz inozemstva i od subjekata unutar općeg proračina -1.168.015,06 EUR</w:t>
      </w:r>
    </w:p>
    <w:p>
      <w:r>
        <w:t xml:space="preserve">Indeks u porastu (104,10)-što je posljedica povećanja proračunske osnovice i promjene broja zaposlenika unutar obračunskog razdoblja.</w:t>
      </w:r>
    </w:p>
    <w:p>
      <w:r>
        <w:t xml:space="preserve">ŠIFRA 67-Prihodi iz nadležnog proračuna i od HZZO-A na temelju ugovorenih obveza-83.879,66 EUR</w:t>
      </w:r>
    </w:p>
    <w:p>
      <w:r>
        <w:t xml:space="preserve">Indeks je u porastu (135,60) od čega Prihodi iz nadležnog proračuna za financiranje redovnog poslovanja izkazuju manji rast (Indeks 109,90)  dok Prihodi iz nadležnog proračuna za nabavu nefinancijske imovine su značajno porasli (Indesk 879,20).U ovoj godini osnivač je školi doznačio sredstva za računalnu opremu učionica.</w:t>
      </w:r>
    </w:p>
    <w:p>
      <w:r>
        <w:rPr>
          <w:b/>
        </w:rPr>
        <w:t xml:space="preserve">Bilješka broj 2.</w:t>
      </w:r>
    </w:p>
    <w:p>
      <w:r>
        <w:t xml:space="preserve">2.RASHODI POSLOVANJA -ŠIFRA3.-1.240.608,95</w:t>
      </w:r>
    </w:p>
    <w:p>
      <w:r>
        <w:t xml:space="preserve">ŠIFRA 31- RASHODI ZA ZAPOSLENE -1.170.077,82 </w:t>
      </w:r>
    </w:p>
    <w:p>
      <w:r>
        <w:t xml:space="preserve">Rashodi za zaposlene Indeks (93,90) iskazuju manji pad sukladno primjeni novog Pravilnika  o proračunskom računovodstvu i računskom planu.</w:t>
      </w:r>
    </w:p>
    <w:p>
      <w:r>
        <w:t xml:space="preserve">ŠIFRA 32-MATERIJALNI RASHODI-69.062,67 EUR </w:t>
      </w:r>
    </w:p>
    <w:p>
      <w:r>
        <w:t xml:space="preserve">U okviru šifre 32 određeni rashodi kao :</w:t>
      </w:r>
    </w:p>
    <w:p>
      <w:r>
        <w:t xml:space="preserve">Materijali i sirovine (Indeks 78,90) i Komunalne usluge (Indeks 44,10) iskazuju pad dok Sitan inventar i auto gume (Indeks 712,30) i Usluge tekućeg i investicionog održavanja (Indeks  244,90) iskazuju značajan rast što je odraz potreba škole u obračunskom razdoblju.Škola je sukladno potrebama redovnog odvijanja nastave nabila više sitnog inventara i izvršila popravke na opremi.</w:t>
      </w:r>
    </w:p>
    <w:p>
      <w:r>
        <w:t xml:space="preserve">ŠIFRA 42-RASHODI ZA NABAVU PROIZVODNE DUGOTRAJNE IMOVINE ( Indeks 870,40)</w:t>
      </w:r>
    </w:p>
    <w:p>
      <w:r>
        <w:t xml:space="preserve">Ovako značajan rast Indeksa  u odnosu na predhodno razdoblje posljedica je nabave kompjutera i kompjuterske opreme za učionice.</w:t>
      </w:r>
    </w:p>
    <w:p>
      <w:r>
        <w:rPr>
          <w:b/>
        </w:rPr>
        <w:t xml:space="preserve">Bilješka br.3</w:t>
      </w:r>
    </w:p>
    <w:p>
      <w:r>
        <w:t xml:space="preserve">ŠIFRA X001-Višak prihoda poslovanja u obračunskom razdoblju -14.725,77 EUR</w:t>
      </w:r>
    </w:p>
    <w:p>
      <w:r>
        <w:t xml:space="preserve">ŠIFRA Y002-Manjak prihoda od nefinancijske imovine -18.198,75 EUR</w:t>
      </w:r>
    </w:p>
    <w:p>
      <w:r>
        <w:t xml:space="preserve">ŠIFRA Y005-Manja prihoda i primitaka -3.472,98 EUR</w:t>
      </w:r>
    </w:p>
    <w:p>
      <w:r>
        <w:t xml:space="preserve">Indeks je 2,6 što je značajajan pad u odnosu na isto razdoblje predhodne godine a to je posljedica primjene Pravilnika po kojemu se prihodi za plaću  i materijalne rashode 12/2025 priznaju u 2026.godini a rashodi u 12/2025.godine.</w:t>
      </w:r>
    </w:p>
    <w:p>
      <w:r>
        <w:t xml:space="preserve">ŠIFRA Y006 -Manjak prihoda poslovanja za pokriće u slijedećem razdoblju iznosi 134.841,02 EUR -Index 105,00 </w:t>
      </w:r>
    </w:p>
    <w:p>
      <w:r>
        <w:t xml:space="preserve">Manjak obračunskog razdoblja sastoji su od troška plaće za 09/2026 i troškova za materijalne rashode koji nisu plaćani na dan 30.09.2026.</w:t>
      </w:r>
    </w:p>
    <w:p>
      <w:r>
        <w:t xml:space="preserve"> </w:t>
      </w:r>
    </w:p>
    <w:p>
      <w:r>
        <w:br/>
      </w:r>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8cb1677ab49b4dda" /></Relationships>
</file>